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136" w:rsidRPr="003E0C34" w:rsidRDefault="007B3136" w:rsidP="007B3136">
      <w:pPr>
        <w:pStyle w:val="Default"/>
        <w:jc w:val="center"/>
        <w:rPr>
          <w:lang w:val="lt-LT"/>
        </w:rPr>
      </w:pPr>
      <w:r>
        <w:t xml:space="preserve">                                               </w:t>
      </w:r>
      <w:r w:rsidRPr="007B3136">
        <w:t xml:space="preserve"> </w:t>
      </w:r>
      <w:r w:rsidRPr="003E0C34">
        <w:rPr>
          <w:lang w:val="lt-LT"/>
        </w:rPr>
        <w:t xml:space="preserve">PATVIRTINTA </w:t>
      </w:r>
    </w:p>
    <w:p w:rsidR="007B3136" w:rsidRPr="003E0C34" w:rsidRDefault="007B3136" w:rsidP="007B3136">
      <w:pPr>
        <w:pStyle w:val="Default"/>
        <w:jc w:val="center"/>
        <w:rPr>
          <w:lang w:val="lt-LT"/>
        </w:rPr>
      </w:pPr>
      <w:r w:rsidRPr="003E0C34">
        <w:rPr>
          <w:lang w:val="lt-LT"/>
        </w:rPr>
        <w:t xml:space="preserve">                                                                    Akmenės rajono savivaldybės</w:t>
      </w:r>
    </w:p>
    <w:p w:rsidR="007B3136" w:rsidRPr="003E0C34" w:rsidRDefault="007B3136" w:rsidP="007B3136">
      <w:pPr>
        <w:pStyle w:val="Default"/>
        <w:jc w:val="center"/>
        <w:rPr>
          <w:lang w:val="lt-LT"/>
        </w:rPr>
      </w:pPr>
      <w:r w:rsidRPr="003E0C34">
        <w:rPr>
          <w:lang w:val="lt-LT"/>
        </w:rPr>
        <w:t xml:space="preserve">                                                                              P</w:t>
      </w:r>
      <w:r w:rsidR="003E0C34">
        <w:rPr>
          <w:lang w:val="lt-LT"/>
        </w:rPr>
        <w:t>ed</w:t>
      </w:r>
      <w:r w:rsidRPr="003E0C34">
        <w:rPr>
          <w:lang w:val="lt-LT"/>
        </w:rPr>
        <w:t xml:space="preserve">agoginės </w:t>
      </w:r>
      <w:r w:rsidR="003E0C34">
        <w:rPr>
          <w:lang w:val="lt-LT"/>
        </w:rPr>
        <w:t>psichologinės tarn</w:t>
      </w:r>
      <w:r w:rsidRPr="003E0C34">
        <w:rPr>
          <w:lang w:val="lt-LT"/>
        </w:rPr>
        <w:t>ybos</w:t>
      </w:r>
    </w:p>
    <w:p w:rsidR="007B3136" w:rsidRPr="003E0C34" w:rsidRDefault="007B3136" w:rsidP="007B3136">
      <w:pPr>
        <w:pStyle w:val="Default"/>
        <w:jc w:val="center"/>
        <w:rPr>
          <w:lang w:val="lt-LT"/>
        </w:rPr>
      </w:pPr>
      <w:r w:rsidRPr="003E0C34">
        <w:rPr>
          <w:lang w:val="lt-LT"/>
        </w:rPr>
        <w:t xml:space="preserve">                                                   </w:t>
      </w:r>
      <w:r w:rsidR="003E0C34" w:rsidRPr="003E0C34">
        <w:rPr>
          <w:lang w:val="lt-LT"/>
        </w:rPr>
        <w:t xml:space="preserve">                            </w:t>
      </w:r>
      <w:r w:rsidRPr="003E0C34">
        <w:rPr>
          <w:lang w:val="lt-LT"/>
        </w:rPr>
        <w:t xml:space="preserve">  </w:t>
      </w:r>
      <w:r w:rsidR="00E84431">
        <w:rPr>
          <w:lang w:val="lt-LT"/>
        </w:rPr>
        <w:t xml:space="preserve">        </w:t>
      </w:r>
      <w:bookmarkStart w:id="0" w:name="_GoBack"/>
      <w:bookmarkEnd w:id="0"/>
      <w:r w:rsidRPr="003E0C34">
        <w:rPr>
          <w:lang w:val="lt-LT"/>
        </w:rPr>
        <w:t xml:space="preserve"> direktoriaus 2020-0</w:t>
      </w:r>
      <w:r w:rsidR="003E0C34" w:rsidRPr="003E0C34">
        <w:rPr>
          <w:lang w:val="lt-LT"/>
        </w:rPr>
        <w:t xml:space="preserve">5-29 </w:t>
      </w:r>
      <w:r w:rsidRPr="003E0C34">
        <w:rPr>
          <w:lang w:val="lt-LT"/>
        </w:rPr>
        <w:t xml:space="preserve">d. įsakymu Nr. </w:t>
      </w:r>
      <w:r w:rsidR="00E84431">
        <w:rPr>
          <w:lang w:val="lt-LT"/>
        </w:rPr>
        <w:t>V-11</w:t>
      </w:r>
    </w:p>
    <w:p w:rsidR="007B3136" w:rsidRPr="007B3136" w:rsidRDefault="007B3136" w:rsidP="007B3136">
      <w:pPr>
        <w:pStyle w:val="Default"/>
        <w:jc w:val="right"/>
      </w:pPr>
    </w:p>
    <w:p w:rsidR="007B3136" w:rsidRPr="007B3136" w:rsidRDefault="007B3136" w:rsidP="007B3136">
      <w:pPr>
        <w:pStyle w:val="Default"/>
        <w:jc w:val="center"/>
        <w:rPr>
          <w:b/>
          <w:bCs/>
        </w:rPr>
      </w:pPr>
      <w:r w:rsidRPr="007B3136">
        <w:rPr>
          <w:b/>
          <w:bCs/>
        </w:rPr>
        <w:t>VEIKSMŲ ĮSTAIGOJE GAVUS NETEISĖTĄ ATLYGĮ TVARKOS APRAŠAS</w:t>
      </w:r>
    </w:p>
    <w:p w:rsidR="007B3136" w:rsidRPr="007B3136" w:rsidRDefault="007B3136" w:rsidP="007B3136">
      <w:pPr>
        <w:pStyle w:val="Default"/>
        <w:jc w:val="center"/>
      </w:pPr>
    </w:p>
    <w:p w:rsidR="007B3136" w:rsidRPr="007B3136" w:rsidRDefault="007B3136" w:rsidP="007B3136">
      <w:pPr>
        <w:pStyle w:val="Default"/>
        <w:jc w:val="center"/>
        <w:rPr>
          <w:b/>
          <w:bCs/>
        </w:rPr>
      </w:pPr>
      <w:r w:rsidRPr="007B3136">
        <w:rPr>
          <w:b/>
          <w:bCs/>
        </w:rPr>
        <w:t>I SKYRIUS</w:t>
      </w:r>
    </w:p>
    <w:p w:rsidR="007B3136" w:rsidRPr="007B3136" w:rsidRDefault="007B3136" w:rsidP="007B3136">
      <w:pPr>
        <w:pStyle w:val="Default"/>
        <w:jc w:val="center"/>
      </w:pPr>
    </w:p>
    <w:p w:rsidR="007B3136" w:rsidRDefault="007B3136" w:rsidP="007B3136">
      <w:pPr>
        <w:pStyle w:val="Default"/>
        <w:jc w:val="center"/>
        <w:rPr>
          <w:b/>
          <w:bCs/>
        </w:rPr>
      </w:pPr>
      <w:r w:rsidRPr="007B3136">
        <w:rPr>
          <w:b/>
          <w:bCs/>
        </w:rPr>
        <w:t>BENDROSIOS NUOSTATOS</w:t>
      </w:r>
    </w:p>
    <w:p w:rsidR="007B3136" w:rsidRPr="007B3136" w:rsidRDefault="007B3136" w:rsidP="007B3136">
      <w:pPr>
        <w:pStyle w:val="Default"/>
        <w:jc w:val="center"/>
      </w:pPr>
    </w:p>
    <w:p w:rsidR="007B3136" w:rsidRPr="007B3136" w:rsidRDefault="007B3136" w:rsidP="007B3136">
      <w:pPr>
        <w:pStyle w:val="Default"/>
        <w:spacing w:after="167"/>
        <w:jc w:val="both"/>
        <w:rPr>
          <w:lang w:val="lt-LT"/>
        </w:rPr>
      </w:pPr>
      <w:r w:rsidRPr="007B3136">
        <w:rPr>
          <w:lang w:val="lt-LT"/>
        </w:rPr>
        <w:t xml:space="preserve">1. Veiksmų įstaigoje (toliau – Įstaiga) gavus neteisėtą atlygį tvarkos aprašas (toliau – Tvarkos aprašas) reglamentuoja Įstaigos deklaruojančių asmenų, kaip jie apibrėžti Lietuvos Respublikos viešųjų ir privačių interesų derinimo įstatyme (toliau – Darbuotojai), elgesį ir veiksmus gavus neteisėtą atlygį. </w:t>
      </w:r>
    </w:p>
    <w:p w:rsidR="007B3136" w:rsidRPr="007B3136" w:rsidRDefault="007B3136" w:rsidP="007B3136">
      <w:pPr>
        <w:pStyle w:val="Default"/>
        <w:spacing w:after="167"/>
        <w:jc w:val="both"/>
        <w:rPr>
          <w:lang w:val="lt-LT"/>
        </w:rPr>
      </w:pPr>
      <w:r w:rsidRPr="007B3136">
        <w:rPr>
          <w:lang w:val="lt-LT"/>
        </w:rPr>
        <w:t xml:space="preserve">2. Tvarkos aprašo tikslas – nustatyti, valdyti ir kontroliuoti Įstaigoje gaunamo neteisėto atlygio atvejus ir jų mastą, užkirsti kelią galimam kyšininkavimui, papirkimui ar kitokiam neteisėtam elgesiui. </w:t>
      </w:r>
    </w:p>
    <w:p w:rsidR="007B3136" w:rsidRPr="007B3136" w:rsidRDefault="007B3136" w:rsidP="007B3136">
      <w:pPr>
        <w:pStyle w:val="Default"/>
        <w:spacing w:after="167"/>
        <w:jc w:val="both"/>
        <w:rPr>
          <w:lang w:val="lt-LT"/>
        </w:rPr>
      </w:pPr>
      <w:r w:rsidRPr="007B3136">
        <w:rPr>
          <w:lang w:val="lt-LT"/>
        </w:rPr>
        <w:t xml:space="preserve">3. Neteisėtas atlygis – į Įstaigą atnešti, atsiųsti (paštu, per kurjerį, elektroniniu ar kitais būdais) ar kitu būdu palikti pinigai, taip pat daiktai, kurie nelaikytini dovanomis, gautomis pagal tarptautinį protokolą ar tradicijas, kurios įprastai yra susijusios su valstybinėje tarnyboje dirbančio asmens pareigomis, taip pat nelaikytini reprezentacijai skirtomis dovanomis su valstybės, įstaigos ir kitokia simbolika arba paslaugomis, kai naudojamasi tarnybiniais tikslais. </w:t>
      </w:r>
    </w:p>
    <w:p w:rsidR="007B3136" w:rsidRPr="007B3136" w:rsidRDefault="007B3136" w:rsidP="007B3136">
      <w:pPr>
        <w:pStyle w:val="Default"/>
        <w:spacing w:after="167"/>
        <w:jc w:val="both"/>
        <w:rPr>
          <w:lang w:val="lt-LT"/>
        </w:rPr>
      </w:pPr>
      <w:r w:rsidRPr="007B3136">
        <w:rPr>
          <w:lang w:val="lt-LT"/>
        </w:rPr>
        <w:t xml:space="preserve">4. Tvarkos aprašas parengtas vadovaujantis Lietuvos Respublikos viešųjų ir privačių interesų derinimo įstatymu, Lietuvos Respublikos korupcijos prevencijos įstatymu, Lietuvos Respublikos civiliniu kodeksu, Lietuvos Respublikos baudžiamuoju kodeksu, kitais Lietuvos Respublikos teisės aktais, reglamentuojančiais draudimą priimti neteisėtą atlygį (dovanas) ir Vyriausiosios tarnybinės etikos komisijos (toliau – VTEK) rekomendacijomis1. </w:t>
      </w:r>
    </w:p>
    <w:p w:rsidR="007B3136" w:rsidRPr="007B3136" w:rsidRDefault="007B3136" w:rsidP="007B3136">
      <w:pPr>
        <w:pStyle w:val="Default"/>
        <w:jc w:val="both"/>
        <w:rPr>
          <w:lang w:val="lt-LT"/>
        </w:rPr>
      </w:pPr>
      <w:r w:rsidRPr="007B3136">
        <w:rPr>
          <w:lang w:val="lt-LT"/>
        </w:rPr>
        <w:t xml:space="preserve">5. Tvarkos aprašo nuostatos netaikomos Lietuvos Respublikos viešųjų ir privačių interesų derinimo įstatymo 13 straipsnyje nurodytiems atvejams dėl dovanų, gautų pagal tarptautinį protokolą ar tradicijas, kurios įprastai yra susijusios su valstybinėje tarnyboje dirbančio asmens pareigomis, taip pat dėl reprezentacijai skirtų dovanų su valstybės, įstaigos ir kitokia simbolika arba kai paslaugomis yra naudojamasi tarnybiniais tikslais. </w:t>
      </w:r>
    </w:p>
    <w:p w:rsidR="007B3136" w:rsidRPr="007B3136" w:rsidRDefault="007B3136" w:rsidP="007B3136">
      <w:pPr>
        <w:pStyle w:val="Default"/>
        <w:jc w:val="both"/>
        <w:rPr>
          <w:lang w:val="lt-LT"/>
        </w:rPr>
      </w:pPr>
    </w:p>
    <w:p w:rsidR="007B3136" w:rsidRPr="007B3136" w:rsidRDefault="007B3136" w:rsidP="007B3136">
      <w:pPr>
        <w:pStyle w:val="Default"/>
        <w:jc w:val="both"/>
        <w:rPr>
          <w:lang w:val="lt-LT"/>
        </w:rPr>
      </w:pPr>
      <w:r w:rsidRPr="007B3136">
        <w:rPr>
          <w:lang w:val="lt-LT"/>
        </w:rPr>
        <w:t xml:space="preserve">1 VTEK 2020 m. kovo 12 d. sprendimas Nr. KS-40 „Dėl Rekomendacinių gairių dėl dovanų ar paslaugų priėmimo apribojimų patvirtinimo“. </w:t>
      </w:r>
    </w:p>
    <w:p w:rsidR="007B3136" w:rsidRPr="007B3136" w:rsidRDefault="007B3136" w:rsidP="007B3136">
      <w:pPr>
        <w:pStyle w:val="Default"/>
        <w:jc w:val="center"/>
        <w:rPr>
          <w:b/>
          <w:bCs/>
          <w:lang w:val="lt-LT"/>
        </w:rPr>
      </w:pPr>
      <w:r w:rsidRPr="007B3136">
        <w:rPr>
          <w:b/>
          <w:bCs/>
          <w:lang w:val="lt-LT"/>
        </w:rPr>
        <w:t>II SKYRIUS</w:t>
      </w:r>
    </w:p>
    <w:p w:rsidR="007B3136" w:rsidRPr="007B3136" w:rsidRDefault="007B3136" w:rsidP="007B3136">
      <w:pPr>
        <w:pStyle w:val="Default"/>
        <w:jc w:val="center"/>
      </w:pPr>
    </w:p>
    <w:p w:rsidR="007B3136" w:rsidRDefault="007B3136" w:rsidP="007B3136">
      <w:pPr>
        <w:pStyle w:val="Default"/>
        <w:jc w:val="center"/>
        <w:rPr>
          <w:b/>
          <w:bCs/>
        </w:rPr>
      </w:pPr>
      <w:r w:rsidRPr="007B3136">
        <w:rPr>
          <w:b/>
          <w:bCs/>
        </w:rPr>
        <w:t>VEIKSMAI GAVUS NETEISĖTĄ ATLYGĮ</w:t>
      </w:r>
    </w:p>
    <w:p w:rsidR="007B3136" w:rsidRPr="007B3136" w:rsidRDefault="007B3136" w:rsidP="007B3136">
      <w:pPr>
        <w:pStyle w:val="Default"/>
        <w:jc w:val="center"/>
      </w:pPr>
    </w:p>
    <w:p w:rsidR="007B3136" w:rsidRPr="007B3136" w:rsidRDefault="007B3136" w:rsidP="007B3136">
      <w:pPr>
        <w:pStyle w:val="Default"/>
        <w:spacing w:after="167"/>
        <w:jc w:val="both"/>
        <w:rPr>
          <w:lang w:val="lt-LT"/>
        </w:rPr>
      </w:pPr>
      <w:r w:rsidRPr="007B3136">
        <w:rPr>
          <w:lang w:val="lt-LT"/>
        </w:rPr>
        <w:t xml:space="preserve">6. Jeigu Darbuotojui siūlomas, žadamas duoti, duodamas neteisėtas atlygis atitinka kyšio2 požymius arba provokuojama jį priimti, Darbuotojas privalo perspėti tokį neteisėtą atlygį siūlantį, žadantį ar davusį asmenį apie jo daromą korupcinio pobūdžio nusikalstamą veiką, galimas pasekmes (galimą ikiteisminį tyrimą, baudžiamąją atsakomybę) ir pareikalauti nedelsiant nutraukti tokius veiksmus3. Darbuotojas turi aiškiai pasakyti ir savo elgesiu parodyti, kad netoleruoja korupcinio pobūdžio nusikalstamos veikos, ir neprovokuoti asmens duoti neteisėto atlygio (kyšio). Taip pat darbuotojas turi paaiškinti, kad jis privalės pranešti apie tai už Įstaigos korupcijos prevenciją atsakingam asmeniui (atitikties pareigūnui) arba teisėsaugos įstaigoms. </w:t>
      </w:r>
    </w:p>
    <w:p w:rsidR="007B3136" w:rsidRPr="007B3136" w:rsidRDefault="007B3136" w:rsidP="007B3136">
      <w:pPr>
        <w:pStyle w:val="Default"/>
        <w:jc w:val="both"/>
        <w:rPr>
          <w:lang w:val="lt-LT"/>
        </w:rPr>
      </w:pPr>
      <w:r w:rsidRPr="007B3136">
        <w:rPr>
          <w:lang w:val="lt-LT"/>
        </w:rPr>
        <w:t xml:space="preserve">7. Darbuotojas privalo atsisakyti priimti ir kitus daiktus, kurie nors ir neatitinka kyšio požymių, tačiau taip pat nelaikytini dovanomis, gautomis pagal tarptautinį protokolą ar tradicijas, kurios įprastai yra susijusios su valstybinėje tarnyboje dirbančio asmens pareigomis, taip pat nelaikytini reprezentacijai skirtomis dovanomis su valstybės, įstaigos ir kitokia simbolika arba paslaugomis, kai yra naudojamasi tarnybiniais tikslais. Darbuotojas privalo paaiškinti tokius daiktus siūlančiam asmeniui, kad jų priėmimas gali būti vertinamas kaip Lietuvos </w:t>
      </w:r>
      <w:r w:rsidRPr="007B3136">
        <w:rPr>
          <w:lang w:val="lt-LT"/>
        </w:rPr>
        <w:lastRenderedPageBreak/>
        <w:t>Respublikos viešųjų ir privačių interesų derinimo įstatymo4 ar etikos taisyklių pažeidimas5, bei paraginti neteikti,</w:t>
      </w:r>
      <w:r w:rsidRPr="007B3136">
        <w:t xml:space="preserve"> </w:t>
      </w:r>
      <w:r w:rsidRPr="007B3136">
        <w:rPr>
          <w:lang w:val="lt-LT"/>
        </w:rPr>
        <w:t xml:space="preserve">atsiimti siūlomus daiktus. Nepavykus iš karto perspėti neteisėto atlygio davėjo (pvz., jam pasišalinus arba kai neteisėtas atlygis atsiųstas paštu, per kurjerį ir pan.), jis gali būti kviečiamas telefonu, el. paštu ar kitais būdais (jei žinomi kontaktiniai duomenys) atvykti į Įstaigą ir atsiimti atsiųstus ar paliktus daiktus. Jeigu nepavyksta minėtų daiktų grąžinti juos palikusiam ar atsiuntusiam asmeniui arba nežinoma, kas juos paliko ar atsiuntė, dėl jų priimamas vienas iš Tvarkos aprašo 14 punkte nurodytų sprendimų. </w:t>
      </w:r>
    </w:p>
    <w:p w:rsidR="007B3136" w:rsidRPr="007B3136" w:rsidRDefault="007B3136" w:rsidP="007B3136">
      <w:pPr>
        <w:pStyle w:val="Default"/>
        <w:jc w:val="both"/>
        <w:rPr>
          <w:lang w:val="lt-LT"/>
        </w:rPr>
      </w:pPr>
    </w:p>
    <w:p w:rsidR="007B3136" w:rsidRPr="007B3136" w:rsidRDefault="007B3136" w:rsidP="007B3136">
      <w:pPr>
        <w:pStyle w:val="Default"/>
        <w:jc w:val="both"/>
        <w:rPr>
          <w:lang w:val="lt-LT"/>
        </w:rPr>
      </w:pPr>
      <w:r w:rsidRPr="007B3136">
        <w:rPr>
          <w:lang w:val="lt-LT"/>
        </w:rPr>
        <w:t xml:space="preserve">2 Pagal Lietuvos Respublikos baudžiamojo kodekso 230 straipsnio 5 dalį kyšis yra bet kokios turtinės ar kitokios asmeninės naudos sau ar kitam asmeniui (materialios ar nematerialios, turinčios ekonominę vertę rinkoje ar tokios vertės neturinčios) forma išreikštas neteisėtas ar nepagrįstas atlygis už pageidaujamą valstybės tarnautojo ar jam prilyginto asmens teisėtą ar neteisėtą veikimą arba neveikimą vykdant įgaliojimus. </w:t>
      </w:r>
    </w:p>
    <w:p w:rsidR="007B3136" w:rsidRPr="007B3136" w:rsidRDefault="007B3136" w:rsidP="007B3136">
      <w:pPr>
        <w:pStyle w:val="Default"/>
        <w:jc w:val="both"/>
        <w:rPr>
          <w:lang w:val="lt-LT"/>
        </w:rPr>
      </w:pPr>
      <w:r w:rsidRPr="007B3136">
        <w:rPr>
          <w:lang w:val="lt-LT"/>
        </w:rPr>
        <w:t xml:space="preserve">3 Praktikoje pastebimos dažnos situacijos, kai asmenys (ypač vyresnio amžiaus) nuoširdžiai galvodami, kad teikia nekaltą padėką (pvz., saldainių dėžutę, medaus stiklainį ir pan.) už dėl jų atliktus ar planuojamus atlikti viešojo sektoriaus darbuotojų veiksmus, neteisėtą atlygį teikia kaip dovaną, nenorėdami nieko papirkti ar paveikti ir dažnai net nesuvokia, kad tokie veiksmai yra nusikalstami. Kartais asmenys taip pat nežino, kad neteisėtą atlygį priimti viešojo sektoriaus darbuotojams draudžia teisės aktai. Svarbu suprasti, kada asmuo nori įteikti neteisėtą atlygį tyčia, sąmoningai kaip kyšį (už darbuotojų atliekamas pareigas, statusą) ir kada neteisėtas atlygis teikiamas už mandagų, kultūringą aptarnavimą, nenorint paveikti darbuotojų valios ar turėti išskirtinės padėties ir palankumo. Rekomenduotina pirmiausia mandagiai paaiškinti asmeniui apie neteisėtą atlygį, padėti suprasti veiksmų pavojingumą. </w:t>
      </w:r>
    </w:p>
    <w:p w:rsidR="007B3136" w:rsidRPr="007B3136" w:rsidRDefault="007B3136" w:rsidP="007B3136">
      <w:pPr>
        <w:pStyle w:val="Default"/>
        <w:jc w:val="both"/>
        <w:rPr>
          <w:lang w:val="lt-LT"/>
        </w:rPr>
      </w:pPr>
      <w:r w:rsidRPr="007B3136">
        <w:rPr>
          <w:lang w:val="lt-LT"/>
        </w:rPr>
        <w:t xml:space="preserve">4 Pagal Lietuvos Respublikos viešųjų ir privačių interesų derinimo įstatymo 13 straipsnį deklaruojantis asmuo ar jam artimas asmuo negali priimti dovanų ar paslaugų, jeigu tai susiję su deklaruojančio asmens tarnybine padėtimi ar tarnybinėmis pareigomis. Už šio įstatymo pažeidimą taikoma administracinė atsakomybė, nustatyta Lietuvos Respublikos administracinių nusižengimų kodekso 533 straipsnyje. </w:t>
      </w:r>
    </w:p>
    <w:p w:rsidR="007B3136" w:rsidRPr="007B3136" w:rsidRDefault="007B3136" w:rsidP="003E0C34">
      <w:pPr>
        <w:pStyle w:val="Default"/>
        <w:jc w:val="both"/>
      </w:pPr>
      <w:r w:rsidRPr="007B3136">
        <w:rPr>
          <w:lang w:val="lt-LT"/>
        </w:rPr>
        <w:t xml:space="preserve">5 Už įstaigų etikos taisyklių ir (ar) kodeksų pažeidimus gali būti taikoma drausminė ir (ar) tarnybinė atsakomybė. </w:t>
      </w:r>
    </w:p>
    <w:p w:rsidR="007B3136" w:rsidRPr="007B3136" w:rsidRDefault="007B3136" w:rsidP="007B3136">
      <w:pPr>
        <w:pStyle w:val="Default"/>
        <w:spacing w:after="167"/>
        <w:jc w:val="both"/>
        <w:rPr>
          <w:lang w:val="lt-LT"/>
        </w:rPr>
      </w:pPr>
      <w:r w:rsidRPr="007B3136">
        <w:rPr>
          <w:lang w:val="lt-LT"/>
        </w:rPr>
        <w:t xml:space="preserve">8. Asmeniui, kuris išreiškė norą finansiškai ar kitokia turtine išraiška padėkoti Įstaigai už suteiktas paslaugas, turi būti paaiškinta, kad tai jis gali padaryti skirdamas paramą ar labdarą pagal Lietuvos Respublikos labdaros ir paramos įstatymą. Jei asmuo nori padėkoti Įstaigos darbuotojams už gerai atliktą darbą, jam gali būti pasiūloma užpildyti Įstaigoje turimas asmenų aptarnavimo kokybės anketas, pateikti įrašą Įstaigos interneto svetainėje ar pan. </w:t>
      </w:r>
    </w:p>
    <w:p w:rsidR="007B3136" w:rsidRPr="007B3136" w:rsidRDefault="007B3136" w:rsidP="007B3136">
      <w:pPr>
        <w:pStyle w:val="Default"/>
        <w:spacing w:after="167"/>
        <w:jc w:val="both"/>
        <w:rPr>
          <w:lang w:val="lt-LT"/>
        </w:rPr>
      </w:pPr>
      <w:r w:rsidRPr="007B3136">
        <w:rPr>
          <w:lang w:val="lt-LT"/>
        </w:rPr>
        <w:t xml:space="preserve">9. Apie siūlytą, siūlomą, žadamą duoti ar duotą (paliktą, rastą, atsiųstą, perduotą per kitą asmenį) neteisėtą atlygį Įstaigos Darbuotojai visais atvejais žodžiu, raštu, telefonu ar elektroniniu būdu nedelsdami privalo pranešti už korupcijos prevenciją įstaigoje atsakingam asmeniui (atitikties pareigūnui). Jei neteisėtas atlygis turi korupcinio pobūdžio nusikalstamos veikos požymių (atlygiu siekiama daryti įtaką Darbuotojui, kad jis teisėtai ar neteisėtai veiktų arba neveiktų vykdydamas įgaliojimus), Darbuotojas, vadovaudamasis Lietuvos Respublikos korupcijos prevencijos įstatymo 101 straipsniu, privalo informuoti teisėsaugos įstaigą6. </w:t>
      </w:r>
    </w:p>
    <w:p w:rsidR="007B3136" w:rsidRPr="007B3136" w:rsidRDefault="007B3136" w:rsidP="007B3136">
      <w:pPr>
        <w:pStyle w:val="Default"/>
        <w:jc w:val="both"/>
        <w:rPr>
          <w:lang w:val="lt-LT"/>
        </w:rPr>
      </w:pPr>
      <w:r w:rsidRPr="007B3136">
        <w:rPr>
          <w:lang w:val="lt-LT"/>
        </w:rPr>
        <w:t xml:space="preserve">10. Už korupcijos prevenciją įstaigoje atsakingas asmuo, gavęs informacijos apie siūlytą, siūlomą, žadamą duoti ar duotą neteisėtą atlygį: </w:t>
      </w:r>
    </w:p>
    <w:p w:rsidR="007B3136" w:rsidRPr="007B3136" w:rsidRDefault="007B3136" w:rsidP="007B3136">
      <w:pPr>
        <w:pStyle w:val="Default"/>
        <w:jc w:val="both"/>
        <w:rPr>
          <w:lang w:val="lt-LT"/>
        </w:rPr>
      </w:pPr>
    </w:p>
    <w:p w:rsidR="007B3136" w:rsidRPr="007B3136" w:rsidRDefault="007B3136" w:rsidP="007B3136">
      <w:pPr>
        <w:pStyle w:val="Default"/>
        <w:jc w:val="both"/>
        <w:rPr>
          <w:lang w:val="lt-LT"/>
        </w:rPr>
      </w:pPr>
      <w:r w:rsidRPr="007B3136">
        <w:rPr>
          <w:lang w:val="lt-LT"/>
        </w:rPr>
        <w:t xml:space="preserve">6 Pagal Lietuvos Respublikos korupcijos prevencijos įstatymo 101 straipsnį valstybės tarnautojas ar jam prilygintas asmuo apie jam žinomą korupcinio pobūdžio nusikalstamą veiką, išskyrus veiką, kurią galbūt padarė jo artimieji giminaičiai ar šeimos nariai (artimųjų giminaičių ir šeimos narių sąvokos suprantamos taip, kaip jos apibrėžtos Lietuvos Respublikos baudžiamojo kodekso XXXIV skyriuje), privalo pranešti Lietuvos Respublikos prokuratūrai, Specialiųjų tyrimų tarnybai arba ikiteisminio tyrimo įstaigai, jei jis gavo neginčijamų duomenų, liudijančių šios veikos padarymą, arba pats stebėjo ar kitaip fiksavo šios veikos padarymą ir jei teisės aktuose nėra nustatyta praneštinos informacijos atskleidimo ribojimų. </w:t>
      </w:r>
    </w:p>
    <w:p w:rsidR="007B3136" w:rsidRPr="007B3136" w:rsidRDefault="007B3136" w:rsidP="007B3136">
      <w:pPr>
        <w:pStyle w:val="Default"/>
        <w:jc w:val="both"/>
        <w:rPr>
          <w:lang w:val="lt-LT"/>
        </w:rPr>
      </w:pPr>
      <w:r w:rsidRPr="007B3136">
        <w:rPr>
          <w:lang w:val="lt-LT"/>
        </w:rPr>
        <w:t xml:space="preserve">10.1. Nuvykęs į vietą, išsiaiškina preliminarias įvykio aplinkybes (asmens, siūliusio, žadėjusio duoti ar davusio neteisėtą atlygį, tapatybę, </w:t>
      </w:r>
      <w:proofErr w:type="spellStart"/>
      <w:r w:rsidRPr="007B3136">
        <w:rPr>
          <w:lang w:val="lt-LT"/>
        </w:rPr>
        <w:t>ketinimus</w:t>
      </w:r>
      <w:proofErr w:type="spellEnd"/>
      <w:r w:rsidRPr="007B3136">
        <w:rPr>
          <w:lang w:val="lt-LT"/>
        </w:rPr>
        <w:t xml:space="preserve"> ir pan.). </w:t>
      </w:r>
    </w:p>
    <w:p w:rsidR="007B3136" w:rsidRPr="007B3136" w:rsidRDefault="007B3136" w:rsidP="007B3136">
      <w:pPr>
        <w:pStyle w:val="Default"/>
        <w:jc w:val="both"/>
        <w:rPr>
          <w:lang w:val="lt-LT"/>
        </w:rPr>
      </w:pPr>
      <w:r w:rsidRPr="007B3136">
        <w:rPr>
          <w:lang w:val="lt-LT"/>
        </w:rPr>
        <w:lastRenderedPageBreak/>
        <w:t xml:space="preserve">10.2. Įvertinęs gautos informacijos turinį ir nustatęs galimos korupcinio pobūdžio nusikalstamos veikos požymius, nedelsdamas informuoja Įstaigos vadovą ir kompetentingas teisėsaugos institucijas bei imasi visų priemonių galimai nusikalstamai veikai sustabdyti ir fiksuoti. </w:t>
      </w:r>
    </w:p>
    <w:p w:rsidR="007B3136" w:rsidRPr="007B3136" w:rsidRDefault="007B3136" w:rsidP="007B3136">
      <w:pPr>
        <w:pStyle w:val="Default"/>
        <w:jc w:val="both"/>
        <w:rPr>
          <w:lang w:val="lt-LT"/>
        </w:rPr>
      </w:pPr>
      <w:r w:rsidRPr="007B3136">
        <w:rPr>
          <w:lang w:val="lt-LT"/>
        </w:rPr>
        <w:t xml:space="preserve">10.3. Informuoja neteisėtą atlygį (kyšį) siūlantį, žadantį duoti ar davusį asmenį, kad jis, esant galimybei, turės palaukti, kol atvyks teisėsaugos pareigūnai. Jei toks asmuo pasišalino iš įvykio vietos, apie tai informuoja atvykusius teisėsaugos pareigūnus. </w:t>
      </w:r>
    </w:p>
    <w:p w:rsidR="007B3136" w:rsidRPr="007B3136" w:rsidRDefault="007B3136" w:rsidP="003E0C34">
      <w:pPr>
        <w:pStyle w:val="Default"/>
        <w:jc w:val="both"/>
        <w:rPr>
          <w:lang w:val="lt-LT"/>
        </w:rPr>
      </w:pPr>
      <w:r w:rsidRPr="007B3136">
        <w:rPr>
          <w:lang w:val="lt-LT"/>
        </w:rPr>
        <w:t xml:space="preserve">10.4. Imasi priemonių įvykio vietai apsaugoti, iki atvyks teisėsaugos pareigūnai. Jeigu galimai neteisėtas atlygis buvo paliktas ant stalo, įkištas į stalčių ar numestas ant žemės, rastas automobilyje, drabužių kišenėse ar kitoje vietoje, būtina palikti jį ten, kur yra, išskyrus atvejus, kai yra pavojus, kad neteisėtas atlygis gali būti pamestas ar sunaikintas. Įvykio vietoje nieko neliesti rankomis, pvz., neperskaičiuoti pinigų kupiūrų, ir stengtis užtikrinti, kad ir kiti asmenys nieko neliestų. 10.5. Esant galimybei ir nepažeisdamas asmens duomenų apsaugos reikalavimų, įvykį fiksuoja garso ar vaizdo įrašu. </w:t>
      </w:r>
    </w:p>
    <w:p w:rsidR="007B3136" w:rsidRPr="007B3136" w:rsidRDefault="007B3136" w:rsidP="007B3136">
      <w:pPr>
        <w:pStyle w:val="Default"/>
        <w:jc w:val="both"/>
        <w:rPr>
          <w:lang w:val="lt-LT"/>
        </w:rPr>
      </w:pPr>
      <w:r w:rsidRPr="007B3136">
        <w:rPr>
          <w:lang w:val="lt-LT"/>
        </w:rPr>
        <w:t xml:space="preserve">10.6. Jei yra asmenų, kurie galėjo matyti neteisėto atlygio davimo ar bandymo jį duoti faktą, užsirašo jų kontaktinius duomenis, kuriais būtų galima susisiekti, esant galimybei paprašyti palaukti, kol atvyks teisėsaugos pareigūnai. </w:t>
      </w:r>
    </w:p>
    <w:p w:rsidR="007B3136" w:rsidRPr="007B3136" w:rsidRDefault="007B3136" w:rsidP="007B3136">
      <w:pPr>
        <w:pStyle w:val="Default"/>
        <w:jc w:val="both"/>
        <w:rPr>
          <w:lang w:val="lt-LT"/>
        </w:rPr>
      </w:pPr>
      <w:r w:rsidRPr="007B3136">
        <w:rPr>
          <w:lang w:val="lt-LT"/>
        </w:rPr>
        <w:t xml:space="preserve">10.7. Jeigu įvertinęs surinktos informacijos turinį nustato, kad nėra galimos korupcinio pobūdžio nusikalstamos veikos požymių (pvz., daiktas paliktas atsitiktinai), apie tai pažymi Neteisėto atlygio registre, informuoja Įstaigos vadovą ir imasi priemonių gautiems daiktams grąžinti arba priima sprendimus, numatytus Tvarkos aprašo 14 punkte. </w:t>
      </w:r>
    </w:p>
    <w:p w:rsidR="007B3136" w:rsidRPr="007B3136" w:rsidRDefault="007B3136" w:rsidP="007B3136">
      <w:pPr>
        <w:pStyle w:val="Default"/>
        <w:jc w:val="both"/>
        <w:rPr>
          <w:lang w:val="lt-LT"/>
        </w:rPr>
      </w:pPr>
      <w:r w:rsidRPr="007B3136">
        <w:rPr>
          <w:lang w:val="lt-LT"/>
        </w:rPr>
        <w:t xml:space="preserve">11. Už korupcijos prevenciją įstaigoje atsakingas asmuo užtikrina pagalbą pareigūnams atliekant aplinkybių tyrimą dėl neteisėto atlygio, pateikia surinktą informaciją ir su jais bendradarbiauja. </w:t>
      </w:r>
    </w:p>
    <w:p w:rsidR="007B3136" w:rsidRPr="007B3136" w:rsidRDefault="007B3136" w:rsidP="007B3136">
      <w:pPr>
        <w:pStyle w:val="Default"/>
        <w:rPr>
          <w:lang w:val="lt-LT"/>
        </w:rPr>
      </w:pPr>
    </w:p>
    <w:p w:rsidR="007B3136" w:rsidRPr="007B3136" w:rsidRDefault="007B3136" w:rsidP="007B3136">
      <w:pPr>
        <w:pStyle w:val="Default"/>
        <w:jc w:val="center"/>
        <w:rPr>
          <w:b/>
          <w:bCs/>
          <w:lang w:val="lt-LT"/>
        </w:rPr>
      </w:pPr>
      <w:r w:rsidRPr="007B3136">
        <w:rPr>
          <w:b/>
          <w:bCs/>
          <w:lang w:val="lt-LT"/>
        </w:rPr>
        <w:t>III SKYRIUS</w:t>
      </w:r>
    </w:p>
    <w:p w:rsidR="007B3136" w:rsidRPr="007B3136" w:rsidRDefault="007B3136" w:rsidP="007B3136">
      <w:pPr>
        <w:pStyle w:val="Default"/>
        <w:jc w:val="center"/>
        <w:rPr>
          <w:lang w:val="lt-LT"/>
        </w:rPr>
      </w:pPr>
    </w:p>
    <w:p w:rsidR="007B3136" w:rsidRPr="007B3136" w:rsidRDefault="007B3136" w:rsidP="007B3136">
      <w:pPr>
        <w:pStyle w:val="Default"/>
        <w:jc w:val="center"/>
        <w:rPr>
          <w:b/>
          <w:bCs/>
          <w:lang w:val="lt-LT"/>
        </w:rPr>
      </w:pPr>
      <w:r w:rsidRPr="007B3136">
        <w:rPr>
          <w:b/>
          <w:bCs/>
          <w:lang w:val="lt-LT"/>
        </w:rPr>
        <w:t>GAUTO NETEISĖTO ATLYGIO REGISTRAVIMAS</w:t>
      </w:r>
    </w:p>
    <w:p w:rsidR="007B3136" w:rsidRPr="007B3136" w:rsidRDefault="007B3136" w:rsidP="007B3136">
      <w:pPr>
        <w:pStyle w:val="Default"/>
        <w:jc w:val="center"/>
        <w:rPr>
          <w:lang w:val="lt-LT"/>
        </w:rPr>
      </w:pPr>
    </w:p>
    <w:p w:rsidR="007B3136" w:rsidRPr="007B3136" w:rsidRDefault="007B3136" w:rsidP="007B3136">
      <w:pPr>
        <w:pStyle w:val="Default"/>
        <w:spacing w:after="167"/>
        <w:jc w:val="both"/>
        <w:rPr>
          <w:lang w:val="lt-LT"/>
        </w:rPr>
      </w:pPr>
      <w:r w:rsidRPr="007B3136">
        <w:rPr>
          <w:lang w:val="lt-LT"/>
        </w:rPr>
        <w:t xml:space="preserve">12. Už korupcijos prevenciją įstaigoje atsakingas asmuo, gavęs pranešimą apie siūlytą, siūlomą, žadamą duoti ar duotą galimai neteisėtą atlygį, per 1 darbo dieną registruoja šį faktą Dokumentų valdymo sistemos atitinkamoje elektroninėje byloje (pvz., </w:t>
      </w:r>
      <w:r w:rsidRPr="007B3136">
        <w:rPr>
          <w:i/>
          <w:iCs/>
          <w:lang w:val="lt-LT"/>
        </w:rPr>
        <w:t>Neteisėto atlygio registre</w:t>
      </w:r>
      <w:r w:rsidRPr="007B3136">
        <w:rPr>
          <w:lang w:val="lt-LT"/>
        </w:rPr>
        <w:t xml:space="preserve">) užpildydamas Tvarkos aprašo 1 priede nurodytą Neteisėto atlygio registro formą. Gauto ar palikto neteisėto atlygio dalykas turi būti nufotografuojamas, fotografijos saugomos elektroninėje laikmenoje, susietoje su Neteisėto atlygio registru. </w:t>
      </w:r>
    </w:p>
    <w:p w:rsidR="007B3136" w:rsidRPr="007B3136" w:rsidRDefault="007B3136" w:rsidP="007B3136">
      <w:pPr>
        <w:pStyle w:val="Default"/>
        <w:spacing w:after="167"/>
        <w:jc w:val="both"/>
        <w:rPr>
          <w:lang w:val="lt-LT"/>
        </w:rPr>
      </w:pPr>
      <w:r w:rsidRPr="007B3136">
        <w:rPr>
          <w:lang w:val="lt-LT"/>
        </w:rPr>
        <w:t xml:space="preserve">13. Jei neteisėtas atlygis perduodamas teisėsaugos įstaigoms arba grąžinamas davėjui, pažymima Neteisėto atlygio registro pastabų skiltyje. </w:t>
      </w:r>
    </w:p>
    <w:p w:rsidR="007B3136" w:rsidRPr="007B3136" w:rsidRDefault="007B3136" w:rsidP="007B3136">
      <w:pPr>
        <w:pStyle w:val="Default"/>
        <w:spacing w:after="164"/>
        <w:jc w:val="both"/>
        <w:rPr>
          <w:lang w:val="lt-LT"/>
        </w:rPr>
      </w:pPr>
      <w:r w:rsidRPr="007B3136">
        <w:rPr>
          <w:lang w:val="lt-LT"/>
        </w:rPr>
        <w:t xml:space="preserve">14. Jeigu neteisėtas atlygis nėra perduodamas teisėsaugos įstaigoms (nesant nusikalstamos veikos sudėties ir kai davėjas atsisako jį atsiimti) arba negrąžinamas davėjui (nežinomas neteisėto atlygio davėjas), vadovaujantis galiojančiais teisės aktais ir protingumo principu, gali būti priimamas vienas iš šių sprendimų: 14.1. Neteisėtas atlygis perduodamas labdarai. </w:t>
      </w:r>
    </w:p>
    <w:p w:rsidR="007B3136" w:rsidRPr="007B3136" w:rsidRDefault="007B3136" w:rsidP="007B3136">
      <w:pPr>
        <w:pStyle w:val="Default"/>
        <w:spacing w:after="164"/>
        <w:jc w:val="both"/>
        <w:rPr>
          <w:lang w:val="lt-LT"/>
        </w:rPr>
      </w:pPr>
      <w:r w:rsidRPr="007B3136">
        <w:rPr>
          <w:lang w:val="lt-LT"/>
        </w:rPr>
        <w:t xml:space="preserve">14.2. Neteisėtas atlygis sunaikinamas. </w:t>
      </w:r>
    </w:p>
    <w:p w:rsidR="003E0C34" w:rsidRDefault="007B3136" w:rsidP="003E0C34">
      <w:pPr>
        <w:pStyle w:val="Default"/>
        <w:jc w:val="both"/>
        <w:rPr>
          <w:lang w:val="lt-LT"/>
        </w:rPr>
      </w:pPr>
      <w:r w:rsidRPr="007B3136">
        <w:rPr>
          <w:lang w:val="lt-LT"/>
        </w:rPr>
        <w:t xml:space="preserve">14.3. Neteisėtas atlygis nuasmeninamas ir naudojamas bendroms įstaigos ir jos interesantų reikmėms (pvz., papuošti bendrojo naudojimo patalpas, pavaišinti įstaigos klientus ir pan.). </w:t>
      </w:r>
    </w:p>
    <w:p w:rsidR="003E0C34" w:rsidRDefault="003E0C34" w:rsidP="003E0C34">
      <w:pPr>
        <w:pStyle w:val="Default"/>
        <w:jc w:val="both"/>
        <w:rPr>
          <w:lang w:val="lt-LT"/>
        </w:rPr>
      </w:pPr>
    </w:p>
    <w:p w:rsidR="007B3136" w:rsidRDefault="003E0C34" w:rsidP="003E0C34">
      <w:pPr>
        <w:pStyle w:val="Default"/>
        <w:jc w:val="center"/>
        <w:rPr>
          <w:b/>
          <w:bCs/>
          <w:lang w:val="lt-LT"/>
        </w:rPr>
      </w:pPr>
      <w:r>
        <w:rPr>
          <w:b/>
          <w:bCs/>
          <w:lang w:val="lt-LT"/>
        </w:rPr>
        <w:t>I</w:t>
      </w:r>
      <w:r w:rsidR="007B3136" w:rsidRPr="007B3136">
        <w:rPr>
          <w:b/>
          <w:bCs/>
          <w:lang w:val="lt-LT"/>
        </w:rPr>
        <w:t>V SKYRIUS</w:t>
      </w:r>
    </w:p>
    <w:p w:rsidR="003E0C34" w:rsidRPr="007B3136" w:rsidRDefault="003E0C34" w:rsidP="003E0C34">
      <w:pPr>
        <w:pStyle w:val="Default"/>
        <w:jc w:val="center"/>
        <w:rPr>
          <w:lang w:val="lt-LT"/>
        </w:rPr>
      </w:pPr>
    </w:p>
    <w:p w:rsidR="007B3136" w:rsidRDefault="007B3136" w:rsidP="007B3136">
      <w:pPr>
        <w:pStyle w:val="Default"/>
        <w:jc w:val="center"/>
        <w:rPr>
          <w:b/>
          <w:bCs/>
          <w:lang w:val="lt-LT"/>
        </w:rPr>
      </w:pPr>
      <w:r w:rsidRPr="007B3136">
        <w:rPr>
          <w:b/>
          <w:bCs/>
          <w:lang w:val="lt-LT"/>
        </w:rPr>
        <w:t>BAIGIAMOSIOS NUOSTATOS</w:t>
      </w:r>
    </w:p>
    <w:p w:rsidR="003E0C34" w:rsidRPr="007B3136" w:rsidRDefault="003E0C34" w:rsidP="007B3136">
      <w:pPr>
        <w:pStyle w:val="Default"/>
        <w:jc w:val="center"/>
        <w:rPr>
          <w:b/>
          <w:bCs/>
          <w:lang w:val="lt-LT"/>
        </w:rPr>
      </w:pPr>
    </w:p>
    <w:p w:rsidR="007B3136" w:rsidRPr="007B3136" w:rsidRDefault="007B3136" w:rsidP="002A46C1">
      <w:pPr>
        <w:pStyle w:val="Default"/>
        <w:rPr>
          <w:lang w:val="lt-LT"/>
        </w:rPr>
      </w:pPr>
      <w:r w:rsidRPr="007B3136">
        <w:rPr>
          <w:lang w:val="lt-LT"/>
        </w:rPr>
        <w:t xml:space="preserve">15. Su Tvarkos aprašu visi Įstaigos darbuotojai pasirašytinai supažindinami </w:t>
      </w:r>
      <w:r w:rsidRPr="007B3136">
        <w:rPr>
          <w:i/>
          <w:iCs/>
          <w:lang w:val="lt-LT"/>
        </w:rPr>
        <w:t xml:space="preserve">Įstaigos pasirinktu būdu. </w:t>
      </w:r>
    </w:p>
    <w:p w:rsidR="007B3136" w:rsidRPr="007B3136" w:rsidRDefault="007B3136" w:rsidP="007B3136">
      <w:pPr>
        <w:pStyle w:val="Default"/>
        <w:rPr>
          <w:lang w:val="lt-LT"/>
        </w:rPr>
      </w:pPr>
      <w:r w:rsidRPr="007B3136">
        <w:rPr>
          <w:lang w:val="lt-LT"/>
        </w:rPr>
        <w:t xml:space="preserve">16. Asmenys, pažeidę šio Tvarkos aprašo reikalavimus, atsako teisės aktų nustatyta tvarka. </w:t>
      </w:r>
    </w:p>
    <w:p w:rsidR="007B3136" w:rsidRPr="007B3136" w:rsidRDefault="007B3136" w:rsidP="007B3136">
      <w:pPr>
        <w:pStyle w:val="Default"/>
        <w:rPr>
          <w:lang w:val="lt-LT"/>
        </w:rPr>
      </w:pPr>
    </w:p>
    <w:p w:rsidR="007B3136" w:rsidRDefault="007B3136" w:rsidP="003E0C34">
      <w:pPr>
        <w:pStyle w:val="Default"/>
        <w:jc w:val="center"/>
        <w:rPr>
          <w:lang w:val="lt-LT"/>
        </w:rPr>
      </w:pPr>
      <w:r w:rsidRPr="007B3136">
        <w:rPr>
          <w:lang w:val="lt-LT"/>
        </w:rPr>
        <w:t>________________________</w:t>
      </w:r>
    </w:p>
    <w:p w:rsidR="002A46C1" w:rsidRDefault="002A46C1" w:rsidP="003E0C34">
      <w:pPr>
        <w:pStyle w:val="Default"/>
        <w:jc w:val="center"/>
        <w:rPr>
          <w:lang w:val="lt-LT"/>
        </w:rPr>
      </w:pPr>
      <w:r>
        <w:rPr>
          <w:lang w:val="lt-LT"/>
        </w:rPr>
        <w:lastRenderedPageBreak/>
        <w:t xml:space="preserve">Susipažinau: </w:t>
      </w:r>
    </w:p>
    <w:p w:rsidR="002A46C1" w:rsidRDefault="002A46C1" w:rsidP="003E0C34">
      <w:pPr>
        <w:pStyle w:val="Default"/>
        <w:jc w:val="center"/>
        <w:rPr>
          <w:lang w:val="lt-LT"/>
        </w:rPr>
      </w:pPr>
      <w:r>
        <w:rPr>
          <w:lang w:val="lt-LT"/>
        </w:rPr>
        <w:t xml:space="preserve">                                                          Andželika </w:t>
      </w:r>
      <w:proofErr w:type="spellStart"/>
      <w:r>
        <w:rPr>
          <w:lang w:val="lt-LT"/>
        </w:rPr>
        <w:t>Adolevskienė</w:t>
      </w:r>
      <w:proofErr w:type="spellEnd"/>
    </w:p>
    <w:p w:rsidR="002A46C1" w:rsidRDefault="002A46C1" w:rsidP="003E0C34">
      <w:pPr>
        <w:pStyle w:val="Default"/>
        <w:jc w:val="center"/>
        <w:rPr>
          <w:lang w:val="lt-LT"/>
        </w:rPr>
      </w:pPr>
      <w:r>
        <w:rPr>
          <w:lang w:val="lt-LT"/>
        </w:rPr>
        <w:t xml:space="preserve">                                            Jūratė </w:t>
      </w:r>
      <w:proofErr w:type="spellStart"/>
      <w:r>
        <w:rPr>
          <w:lang w:val="lt-LT"/>
        </w:rPr>
        <w:t>Plienienė</w:t>
      </w:r>
      <w:proofErr w:type="spellEnd"/>
    </w:p>
    <w:p w:rsidR="002A46C1" w:rsidRDefault="002A46C1" w:rsidP="003E0C34">
      <w:pPr>
        <w:pStyle w:val="Default"/>
        <w:jc w:val="center"/>
        <w:rPr>
          <w:lang w:val="lt-LT"/>
        </w:rPr>
      </w:pPr>
      <w:r>
        <w:rPr>
          <w:lang w:val="lt-LT"/>
        </w:rPr>
        <w:t xml:space="preserve">                             </w:t>
      </w:r>
      <w:r w:rsidR="00FE299E">
        <w:rPr>
          <w:lang w:val="lt-LT"/>
        </w:rPr>
        <w:t xml:space="preserve">                         Sandra </w:t>
      </w:r>
      <w:proofErr w:type="spellStart"/>
      <w:r w:rsidR="00FE299E">
        <w:rPr>
          <w:lang w:val="lt-LT"/>
        </w:rPr>
        <w:t>Mikuže</w:t>
      </w:r>
      <w:r>
        <w:rPr>
          <w:lang w:val="lt-LT"/>
        </w:rPr>
        <w:t>vičienė</w:t>
      </w:r>
      <w:proofErr w:type="spellEnd"/>
    </w:p>
    <w:p w:rsidR="002A46C1" w:rsidRDefault="002A46C1" w:rsidP="003E0C34">
      <w:pPr>
        <w:pStyle w:val="Default"/>
        <w:jc w:val="center"/>
        <w:rPr>
          <w:lang w:val="lt-LT"/>
        </w:rPr>
      </w:pPr>
      <w:r>
        <w:rPr>
          <w:lang w:val="lt-LT"/>
        </w:rPr>
        <w:t xml:space="preserve">                                           Daiva </w:t>
      </w:r>
      <w:proofErr w:type="spellStart"/>
      <w:r>
        <w:rPr>
          <w:lang w:val="lt-LT"/>
        </w:rPr>
        <w:t>Skirienė</w:t>
      </w:r>
      <w:proofErr w:type="spellEnd"/>
    </w:p>
    <w:p w:rsidR="002A46C1" w:rsidRDefault="002A46C1" w:rsidP="003E0C34">
      <w:pPr>
        <w:pStyle w:val="Default"/>
        <w:jc w:val="center"/>
        <w:rPr>
          <w:lang w:val="lt-LT"/>
        </w:rPr>
      </w:pPr>
      <w:r>
        <w:rPr>
          <w:lang w:val="lt-LT"/>
        </w:rPr>
        <w:t xml:space="preserve">                                               Rima Mokusienė</w:t>
      </w:r>
    </w:p>
    <w:p w:rsidR="002A46C1" w:rsidRDefault="002A46C1" w:rsidP="003E0C34">
      <w:pPr>
        <w:pStyle w:val="Default"/>
        <w:jc w:val="center"/>
        <w:rPr>
          <w:lang w:val="lt-LT"/>
        </w:rPr>
      </w:pPr>
      <w:r>
        <w:rPr>
          <w:lang w:val="lt-LT"/>
        </w:rPr>
        <w:t xml:space="preserve">                                                 Daiva </w:t>
      </w:r>
      <w:proofErr w:type="spellStart"/>
      <w:r>
        <w:rPr>
          <w:lang w:val="lt-LT"/>
        </w:rPr>
        <w:t>Kuplastienė</w:t>
      </w:r>
      <w:proofErr w:type="spellEnd"/>
    </w:p>
    <w:p w:rsidR="002A46C1" w:rsidRPr="007B3136" w:rsidRDefault="002A46C1" w:rsidP="003E0C34">
      <w:pPr>
        <w:pStyle w:val="Default"/>
        <w:jc w:val="center"/>
        <w:rPr>
          <w:lang w:val="lt-LT"/>
        </w:rPr>
      </w:pPr>
      <w:r>
        <w:rPr>
          <w:lang w:val="lt-LT"/>
        </w:rPr>
        <w:t xml:space="preserve">                                                     Liudvina </w:t>
      </w:r>
      <w:proofErr w:type="spellStart"/>
      <w:r>
        <w:rPr>
          <w:lang w:val="lt-LT"/>
        </w:rPr>
        <w:t>Butnoriūtė</w:t>
      </w:r>
      <w:proofErr w:type="spellEnd"/>
    </w:p>
    <w:p w:rsidR="002A46C1" w:rsidRDefault="002A46C1" w:rsidP="007B3136">
      <w:pPr>
        <w:pStyle w:val="Default"/>
        <w:pageBreakBefore/>
        <w:jc w:val="right"/>
        <w:rPr>
          <w:lang w:val="lt-LT"/>
        </w:rPr>
      </w:pPr>
    </w:p>
    <w:p w:rsidR="002A46C1" w:rsidRPr="007B3136" w:rsidRDefault="002A46C1" w:rsidP="002A46C1">
      <w:pPr>
        <w:pStyle w:val="Default"/>
        <w:pageBreakBefore/>
        <w:jc w:val="right"/>
        <w:rPr>
          <w:lang w:val="lt-LT"/>
        </w:rPr>
      </w:pPr>
      <w:r w:rsidRPr="007B3136">
        <w:rPr>
          <w:lang w:val="lt-LT"/>
        </w:rPr>
        <w:lastRenderedPageBreak/>
        <w:t xml:space="preserve">Įstaigos tvarkos aprašo </w:t>
      </w:r>
    </w:p>
    <w:p w:rsidR="002A46C1" w:rsidRPr="007B3136" w:rsidRDefault="002A46C1" w:rsidP="002A46C1">
      <w:pPr>
        <w:pStyle w:val="Default"/>
        <w:jc w:val="right"/>
        <w:rPr>
          <w:lang w:val="lt-LT"/>
        </w:rPr>
      </w:pPr>
      <w:r w:rsidRPr="007B3136">
        <w:rPr>
          <w:lang w:val="lt-LT"/>
        </w:rPr>
        <w:t xml:space="preserve">1 priedas </w:t>
      </w:r>
    </w:p>
    <w:p w:rsidR="002A46C1" w:rsidRDefault="002A46C1" w:rsidP="002A46C1">
      <w:pPr>
        <w:pStyle w:val="Default"/>
        <w:rPr>
          <w:b/>
          <w:bCs/>
          <w:lang w:val="lt-LT"/>
        </w:rPr>
      </w:pPr>
      <w:r w:rsidRPr="007B3136">
        <w:rPr>
          <w:b/>
          <w:bCs/>
          <w:lang w:val="lt-LT"/>
        </w:rPr>
        <w:t>Ne</w:t>
      </w:r>
      <w:r w:rsidR="008F6551">
        <w:rPr>
          <w:b/>
          <w:bCs/>
          <w:lang w:val="lt-LT"/>
        </w:rPr>
        <w:t>teisėto atlygio registro forma</w:t>
      </w:r>
    </w:p>
    <w:p w:rsidR="008F6551" w:rsidRPr="007B3136" w:rsidRDefault="008F6551" w:rsidP="002A46C1">
      <w:pPr>
        <w:pStyle w:val="Default"/>
        <w:rPr>
          <w:lang w:val="lt-LT"/>
        </w:rPr>
      </w:pPr>
    </w:p>
    <w:tbl>
      <w:tblPr>
        <w:tblW w:w="111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1276"/>
        <w:gridCol w:w="2126"/>
        <w:gridCol w:w="1418"/>
        <w:gridCol w:w="1706"/>
        <w:gridCol w:w="2835"/>
        <w:gridCol w:w="1134"/>
      </w:tblGrid>
      <w:tr w:rsidR="008F6551" w:rsidRPr="008F6551" w:rsidTr="008F6551">
        <w:trPr>
          <w:trHeight w:val="858"/>
        </w:trPr>
        <w:tc>
          <w:tcPr>
            <w:tcW w:w="670" w:type="dxa"/>
          </w:tcPr>
          <w:p w:rsidR="002A46C1" w:rsidRPr="008F6551" w:rsidRDefault="002A46C1" w:rsidP="00DA2983">
            <w:pPr>
              <w:pStyle w:val="Default"/>
              <w:rPr>
                <w:lang w:val="lt-LT"/>
              </w:rPr>
            </w:pPr>
            <w:r w:rsidRPr="008F6551">
              <w:rPr>
                <w:b/>
                <w:bCs/>
                <w:lang w:val="lt-LT"/>
              </w:rPr>
              <w:t xml:space="preserve"> </w:t>
            </w:r>
            <w:r w:rsidRPr="008F6551">
              <w:rPr>
                <w:iCs/>
                <w:lang w:val="lt-LT"/>
              </w:rPr>
              <w:t xml:space="preserve">Eil. Nr. </w:t>
            </w:r>
          </w:p>
        </w:tc>
        <w:tc>
          <w:tcPr>
            <w:tcW w:w="1276" w:type="dxa"/>
          </w:tcPr>
          <w:p w:rsidR="002A46C1" w:rsidRPr="008F6551" w:rsidRDefault="002A46C1" w:rsidP="00DA2983">
            <w:pPr>
              <w:pStyle w:val="Default"/>
              <w:rPr>
                <w:lang w:val="lt-LT"/>
              </w:rPr>
            </w:pPr>
            <w:r w:rsidRPr="008F6551">
              <w:rPr>
                <w:iCs/>
                <w:lang w:val="lt-LT"/>
              </w:rPr>
              <w:t xml:space="preserve">Gavimo data, </w:t>
            </w:r>
          </w:p>
          <w:p w:rsidR="002A46C1" w:rsidRPr="008F6551" w:rsidRDefault="002A46C1" w:rsidP="00DA2983">
            <w:pPr>
              <w:pStyle w:val="Default"/>
              <w:rPr>
                <w:lang w:val="lt-LT"/>
              </w:rPr>
            </w:pPr>
            <w:r w:rsidRPr="008F6551">
              <w:rPr>
                <w:iCs/>
                <w:lang w:val="lt-LT"/>
              </w:rPr>
              <w:t xml:space="preserve">laikas </w:t>
            </w:r>
          </w:p>
        </w:tc>
        <w:tc>
          <w:tcPr>
            <w:tcW w:w="2126" w:type="dxa"/>
          </w:tcPr>
          <w:p w:rsidR="002A46C1" w:rsidRPr="008F6551" w:rsidRDefault="002A46C1" w:rsidP="00DA2983">
            <w:pPr>
              <w:pStyle w:val="Default"/>
              <w:rPr>
                <w:lang w:val="lt-LT"/>
              </w:rPr>
            </w:pPr>
            <w:r w:rsidRPr="008F6551">
              <w:rPr>
                <w:iCs/>
                <w:lang w:val="lt-LT"/>
              </w:rPr>
              <w:t xml:space="preserve">Davėjo vardas ir pavardė, įmonės pavadinimas (jei žinoma) </w:t>
            </w:r>
          </w:p>
        </w:tc>
        <w:tc>
          <w:tcPr>
            <w:tcW w:w="1418" w:type="dxa"/>
          </w:tcPr>
          <w:p w:rsidR="002A46C1" w:rsidRPr="008F6551" w:rsidRDefault="002A46C1" w:rsidP="00DA2983">
            <w:pPr>
              <w:pStyle w:val="Default"/>
              <w:rPr>
                <w:lang w:val="lt-LT"/>
              </w:rPr>
            </w:pPr>
            <w:r w:rsidRPr="008F6551">
              <w:rPr>
                <w:iCs/>
                <w:lang w:val="lt-LT"/>
              </w:rPr>
              <w:t xml:space="preserve">Gavėjo ir (ar) pranešėjo pareigos </w:t>
            </w:r>
          </w:p>
        </w:tc>
        <w:tc>
          <w:tcPr>
            <w:tcW w:w="1706" w:type="dxa"/>
          </w:tcPr>
          <w:p w:rsidR="002A46C1" w:rsidRPr="008F6551" w:rsidRDefault="002A46C1" w:rsidP="00DA2983">
            <w:pPr>
              <w:pStyle w:val="Default"/>
              <w:rPr>
                <w:lang w:val="lt-LT"/>
              </w:rPr>
            </w:pPr>
            <w:r w:rsidRPr="008F6551">
              <w:rPr>
                <w:iCs/>
                <w:lang w:val="lt-LT"/>
              </w:rPr>
              <w:t xml:space="preserve">Koks atlygis ir aplinkybės: kada, kokiu būdu siūlyti, teikti, palikti daiktai, jų požymiai ir t. t. </w:t>
            </w:r>
          </w:p>
        </w:tc>
        <w:tc>
          <w:tcPr>
            <w:tcW w:w="2835" w:type="dxa"/>
          </w:tcPr>
          <w:p w:rsidR="002A46C1" w:rsidRPr="008F6551" w:rsidRDefault="002A46C1" w:rsidP="00DA2983">
            <w:pPr>
              <w:pStyle w:val="Default"/>
              <w:rPr>
                <w:lang w:val="lt-LT"/>
              </w:rPr>
            </w:pPr>
            <w:r w:rsidRPr="008F6551">
              <w:rPr>
                <w:iCs/>
                <w:lang w:val="lt-LT"/>
              </w:rPr>
              <w:t xml:space="preserve">Atlikti veiksmai: </w:t>
            </w:r>
          </w:p>
          <w:p w:rsidR="002A46C1" w:rsidRPr="008F6551" w:rsidRDefault="002A46C1" w:rsidP="00DA2983">
            <w:pPr>
              <w:pStyle w:val="Default"/>
              <w:rPr>
                <w:lang w:val="lt-LT"/>
              </w:rPr>
            </w:pPr>
            <w:r w:rsidRPr="008F6551">
              <w:rPr>
                <w:iCs/>
                <w:lang w:val="lt-LT"/>
              </w:rPr>
              <w:t xml:space="preserve">faktą registravęs už korupcijos prevenciją įstaigoje atsakingas asmuo, kokių veiksmų imtasi, parengto dokumento data, numeris, fotografija ir t. t. </w:t>
            </w:r>
          </w:p>
        </w:tc>
        <w:tc>
          <w:tcPr>
            <w:tcW w:w="1134" w:type="dxa"/>
          </w:tcPr>
          <w:p w:rsidR="002A46C1" w:rsidRPr="008F6551" w:rsidRDefault="002A46C1" w:rsidP="00DA2983">
            <w:pPr>
              <w:pStyle w:val="Default"/>
              <w:rPr>
                <w:lang w:val="lt-LT"/>
              </w:rPr>
            </w:pPr>
            <w:r w:rsidRPr="008F6551">
              <w:rPr>
                <w:iCs/>
                <w:lang w:val="lt-LT"/>
              </w:rPr>
              <w:t xml:space="preserve">Pastabos </w:t>
            </w:r>
          </w:p>
        </w:tc>
      </w:tr>
      <w:tr w:rsidR="008F6551" w:rsidRPr="007B3136" w:rsidTr="008F6551">
        <w:trPr>
          <w:trHeight w:val="858"/>
        </w:trPr>
        <w:tc>
          <w:tcPr>
            <w:tcW w:w="670" w:type="dxa"/>
          </w:tcPr>
          <w:p w:rsidR="008F6551" w:rsidRPr="007B3136" w:rsidRDefault="008F6551" w:rsidP="00DA2983">
            <w:pPr>
              <w:pStyle w:val="Default"/>
              <w:rPr>
                <w:b/>
                <w:bCs/>
                <w:lang w:val="lt-LT"/>
              </w:rPr>
            </w:pPr>
          </w:p>
        </w:tc>
        <w:tc>
          <w:tcPr>
            <w:tcW w:w="1276" w:type="dxa"/>
          </w:tcPr>
          <w:p w:rsidR="008F6551" w:rsidRPr="007B3136" w:rsidRDefault="008F6551" w:rsidP="00DA2983">
            <w:pPr>
              <w:pStyle w:val="Default"/>
              <w:rPr>
                <w:i/>
                <w:iCs/>
                <w:lang w:val="lt-LT"/>
              </w:rPr>
            </w:pPr>
          </w:p>
        </w:tc>
        <w:tc>
          <w:tcPr>
            <w:tcW w:w="2126" w:type="dxa"/>
          </w:tcPr>
          <w:p w:rsidR="008F6551" w:rsidRPr="007B3136" w:rsidRDefault="008F6551" w:rsidP="00DA2983">
            <w:pPr>
              <w:pStyle w:val="Default"/>
              <w:rPr>
                <w:i/>
                <w:iCs/>
                <w:lang w:val="lt-LT"/>
              </w:rPr>
            </w:pPr>
          </w:p>
        </w:tc>
        <w:tc>
          <w:tcPr>
            <w:tcW w:w="1418" w:type="dxa"/>
          </w:tcPr>
          <w:p w:rsidR="008F6551" w:rsidRPr="007B3136" w:rsidRDefault="008F6551" w:rsidP="00DA2983">
            <w:pPr>
              <w:pStyle w:val="Default"/>
              <w:rPr>
                <w:i/>
                <w:iCs/>
                <w:lang w:val="lt-LT"/>
              </w:rPr>
            </w:pPr>
          </w:p>
        </w:tc>
        <w:tc>
          <w:tcPr>
            <w:tcW w:w="1706" w:type="dxa"/>
          </w:tcPr>
          <w:p w:rsidR="008F6551" w:rsidRPr="007B3136" w:rsidRDefault="008F6551" w:rsidP="00DA2983">
            <w:pPr>
              <w:pStyle w:val="Default"/>
              <w:rPr>
                <w:i/>
                <w:iCs/>
                <w:lang w:val="lt-LT"/>
              </w:rPr>
            </w:pPr>
          </w:p>
        </w:tc>
        <w:tc>
          <w:tcPr>
            <w:tcW w:w="2835" w:type="dxa"/>
          </w:tcPr>
          <w:p w:rsidR="008F6551" w:rsidRPr="007B3136" w:rsidRDefault="008F6551" w:rsidP="00DA2983">
            <w:pPr>
              <w:pStyle w:val="Default"/>
              <w:rPr>
                <w:i/>
                <w:iCs/>
                <w:lang w:val="lt-LT"/>
              </w:rPr>
            </w:pPr>
          </w:p>
        </w:tc>
        <w:tc>
          <w:tcPr>
            <w:tcW w:w="1134" w:type="dxa"/>
          </w:tcPr>
          <w:p w:rsidR="008F6551" w:rsidRPr="007B3136" w:rsidRDefault="008F6551" w:rsidP="00DA2983">
            <w:pPr>
              <w:pStyle w:val="Default"/>
              <w:rPr>
                <w:i/>
                <w:iCs/>
                <w:lang w:val="lt-LT"/>
              </w:rPr>
            </w:pPr>
          </w:p>
        </w:tc>
      </w:tr>
      <w:tr w:rsidR="008F6551" w:rsidRPr="007B3136" w:rsidTr="008F6551">
        <w:trPr>
          <w:trHeight w:val="858"/>
        </w:trPr>
        <w:tc>
          <w:tcPr>
            <w:tcW w:w="670" w:type="dxa"/>
          </w:tcPr>
          <w:p w:rsidR="008F6551" w:rsidRPr="007B3136" w:rsidRDefault="008F6551" w:rsidP="00DA2983">
            <w:pPr>
              <w:pStyle w:val="Default"/>
              <w:rPr>
                <w:b/>
                <w:bCs/>
                <w:lang w:val="lt-LT"/>
              </w:rPr>
            </w:pPr>
          </w:p>
        </w:tc>
        <w:tc>
          <w:tcPr>
            <w:tcW w:w="1276" w:type="dxa"/>
          </w:tcPr>
          <w:p w:rsidR="008F6551" w:rsidRPr="007B3136" w:rsidRDefault="008F6551" w:rsidP="00DA2983">
            <w:pPr>
              <w:pStyle w:val="Default"/>
              <w:rPr>
                <w:i/>
                <w:iCs/>
                <w:lang w:val="lt-LT"/>
              </w:rPr>
            </w:pPr>
          </w:p>
        </w:tc>
        <w:tc>
          <w:tcPr>
            <w:tcW w:w="2126" w:type="dxa"/>
          </w:tcPr>
          <w:p w:rsidR="008F6551" w:rsidRPr="007B3136" w:rsidRDefault="008F6551" w:rsidP="00DA2983">
            <w:pPr>
              <w:pStyle w:val="Default"/>
              <w:rPr>
                <w:i/>
                <w:iCs/>
                <w:lang w:val="lt-LT"/>
              </w:rPr>
            </w:pPr>
          </w:p>
        </w:tc>
        <w:tc>
          <w:tcPr>
            <w:tcW w:w="1418" w:type="dxa"/>
          </w:tcPr>
          <w:p w:rsidR="008F6551" w:rsidRPr="007B3136" w:rsidRDefault="008F6551" w:rsidP="00DA2983">
            <w:pPr>
              <w:pStyle w:val="Default"/>
              <w:rPr>
                <w:i/>
                <w:iCs/>
                <w:lang w:val="lt-LT"/>
              </w:rPr>
            </w:pPr>
          </w:p>
        </w:tc>
        <w:tc>
          <w:tcPr>
            <w:tcW w:w="1706" w:type="dxa"/>
          </w:tcPr>
          <w:p w:rsidR="008F6551" w:rsidRPr="007B3136" w:rsidRDefault="008F6551" w:rsidP="00DA2983">
            <w:pPr>
              <w:pStyle w:val="Default"/>
              <w:rPr>
                <w:i/>
                <w:iCs/>
                <w:lang w:val="lt-LT"/>
              </w:rPr>
            </w:pPr>
          </w:p>
        </w:tc>
        <w:tc>
          <w:tcPr>
            <w:tcW w:w="2835" w:type="dxa"/>
          </w:tcPr>
          <w:p w:rsidR="008F6551" w:rsidRPr="007B3136" w:rsidRDefault="008F6551" w:rsidP="00DA2983">
            <w:pPr>
              <w:pStyle w:val="Default"/>
              <w:rPr>
                <w:i/>
                <w:iCs/>
                <w:lang w:val="lt-LT"/>
              </w:rPr>
            </w:pPr>
          </w:p>
        </w:tc>
        <w:tc>
          <w:tcPr>
            <w:tcW w:w="1134" w:type="dxa"/>
          </w:tcPr>
          <w:p w:rsidR="008F6551" w:rsidRPr="007B3136" w:rsidRDefault="008F6551" w:rsidP="00DA2983">
            <w:pPr>
              <w:pStyle w:val="Default"/>
              <w:rPr>
                <w:i/>
                <w:iCs/>
                <w:lang w:val="lt-LT"/>
              </w:rPr>
            </w:pPr>
          </w:p>
        </w:tc>
      </w:tr>
      <w:tr w:rsidR="008F6551" w:rsidRPr="007B3136" w:rsidTr="008F6551">
        <w:trPr>
          <w:trHeight w:val="858"/>
        </w:trPr>
        <w:tc>
          <w:tcPr>
            <w:tcW w:w="670" w:type="dxa"/>
          </w:tcPr>
          <w:p w:rsidR="008F6551" w:rsidRPr="007B3136" w:rsidRDefault="008F6551" w:rsidP="00DA2983">
            <w:pPr>
              <w:pStyle w:val="Default"/>
              <w:rPr>
                <w:b/>
                <w:bCs/>
                <w:lang w:val="lt-LT"/>
              </w:rPr>
            </w:pPr>
          </w:p>
        </w:tc>
        <w:tc>
          <w:tcPr>
            <w:tcW w:w="1276" w:type="dxa"/>
          </w:tcPr>
          <w:p w:rsidR="008F6551" w:rsidRPr="007B3136" w:rsidRDefault="008F6551" w:rsidP="00DA2983">
            <w:pPr>
              <w:pStyle w:val="Default"/>
              <w:rPr>
                <w:i/>
                <w:iCs/>
                <w:lang w:val="lt-LT"/>
              </w:rPr>
            </w:pPr>
          </w:p>
        </w:tc>
        <w:tc>
          <w:tcPr>
            <w:tcW w:w="2126" w:type="dxa"/>
          </w:tcPr>
          <w:p w:rsidR="008F6551" w:rsidRPr="007B3136" w:rsidRDefault="008F6551" w:rsidP="00DA2983">
            <w:pPr>
              <w:pStyle w:val="Default"/>
              <w:rPr>
                <w:i/>
                <w:iCs/>
                <w:lang w:val="lt-LT"/>
              </w:rPr>
            </w:pPr>
          </w:p>
        </w:tc>
        <w:tc>
          <w:tcPr>
            <w:tcW w:w="1418" w:type="dxa"/>
          </w:tcPr>
          <w:p w:rsidR="008F6551" w:rsidRPr="007B3136" w:rsidRDefault="008F6551" w:rsidP="00DA2983">
            <w:pPr>
              <w:pStyle w:val="Default"/>
              <w:rPr>
                <w:i/>
                <w:iCs/>
                <w:lang w:val="lt-LT"/>
              </w:rPr>
            </w:pPr>
          </w:p>
        </w:tc>
        <w:tc>
          <w:tcPr>
            <w:tcW w:w="1706" w:type="dxa"/>
          </w:tcPr>
          <w:p w:rsidR="008F6551" w:rsidRPr="007B3136" w:rsidRDefault="008F6551" w:rsidP="00DA2983">
            <w:pPr>
              <w:pStyle w:val="Default"/>
              <w:rPr>
                <w:i/>
                <w:iCs/>
                <w:lang w:val="lt-LT"/>
              </w:rPr>
            </w:pPr>
          </w:p>
        </w:tc>
        <w:tc>
          <w:tcPr>
            <w:tcW w:w="2835" w:type="dxa"/>
          </w:tcPr>
          <w:p w:rsidR="008F6551" w:rsidRPr="007B3136" w:rsidRDefault="008F6551" w:rsidP="00DA2983">
            <w:pPr>
              <w:pStyle w:val="Default"/>
              <w:rPr>
                <w:i/>
                <w:iCs/>
                <w:lang w:val="lt-LT"/>
              </w:rPr>
            </w:pPr>
          </w:p>
        </w:tc>
        <w:tc>
          <w:tcPr>
            <w:tcW w:w="1134" w:type="dxa"/>
          </w:tcPr>
          <w:p w:rsidR="008F6551" w:rsidRPr="007B3136" w:rsidRDefault="008F6551" w:rsidP="00DA2983">
            <w:pPr>
              <w:pStyle w:val="Default"/>
              <w:rPr>
                <w:i/>
                <w:iCs/>
                <w:lang w:val="lt-LT"/>
              </w:rPr>
            </w:pPr>
          </w:p>
        </w:tc>
      </w:tr>
      <w:tr w:rsidR="008F6551" w:rsidRPr="007B3136" w:rsidTr="008F6551">
        <w:trPr>
          <w:trHeight w:val="858"/>
        </w:trPr>
        <w:tc>
          <w:tcPr>
            <w:tcW w:w="670" w:type="dxa"/>
          </w:tcPr>
          <w:p w:rsidR="008F6551" w:rsidRPr="007B3136" w:rsidRDefault="008F6551" w:rsidP="00DA2983">
            <w:pPr>
              <w:pStyle w:val="Default"/>
              <w:rPr>
                <w:b/>
                <w:bCs/>
                <w:lang w:val="lt-LT"/>
              </w:rPr>
            </w:pPr>
          </w:p>
        </w:tc>
        <w:tc>
          <w:tcPr>
            <w:tcW w:w="1276" w:type="dxa"/>
          </w:tcPr>
          <w:p w:rsidR="008F6551" w:rsidRPr="007B3136" w:rsidRDefault="008F6551" w:rsidP="00DA2983">
            <w:pPr>
              <w:pStyle w:val="Default"/>
              <w:rPr>
                <w:i/>
                <w:iCs/>
                <w:lang w:val="lt-LT"/>
              </w:rPr>
            </w:pPr>
          </w:p>
        </w:tc>
        <w:tc>
          <w:tcPr>
            <w:tcW w:w="2126" w:type="dxa"/>
          </w:tcPr>
          <w:p w:rsidR="008F6551" w:rsidRPr="007B3136" w:rsidRDefault="008F6551" w:rsidP="00DA2983">
            <w:pPr>
              <w:pStyle w:val="Default"/>
              <w:rPr>
                <w:i/>
                <w:iCs/>
                <w:lang w:val="lt-LT"/>
              </w:rPr>
            </w:pPr>
          </w:p>
        </w:tc>
        <w:tc>
          <w:tcPr>
            <w:tcW w:w="1418" w:type="dxa"/>
          </w:tcPr>
          <w:p w:rsidR="008F6551" w:rsidRPr="007B3136" w:rsidRDefault="008F6551" w:rsidP="00DA2983">
            <w:pPr>
              <w:pStyle w:val="Default"/>
              <w:rPr>
                <w:i/>
                <w:iCs/>
                <w:lang w:val="lt-LT"/>
              </w:rPr>
            </w:pPr>
          </w:p>
        </w:tc>
        <w:tc>
          <w:tcPr>
            <w:tcW w:w="1706" w:type="dxa"/>
          </w:tcPr>
          <w:p w:rsidR="008F6551" w:rsidRPr="007B3136" w:rsidRDefault="008F6551" w:rsidP="00DA2983">
            <w:pPr>
              <w:pStyle w:val="Default"/>
              <w:rPr>
                <w:i/>
                <w:iCs/>
                <w:lang w:val="lt-LT"/>
              </w:rPr>
            </w:pPr>
          </w:p>
        </w:tc>
        <w:tc>
          <w:tcPr>
            <w:tcW w:w="2835" w:type="dxa"/>
          </w:tcPr>
          <w:p w:rsidR="008F6551" w:rsidRPr="007B3136" w:rsidRDefault="008F6551" w:rsidP="00DA2983">
            <w:pPr>
              <w:pStyle w:val="Default"/>
              <w:rPr>
                <w:i/>
                <w:iCs/>
                <w:lang w:val="lt-LT"/>
              </w:rPr>
            </w:pPr>
          </w:p>
        </w:tc>
        <w:tc>
          <w:tcPr>
            <w:tcW w:w="1134" w:type="dxa"/>
          </w:tcPr>
          <w:p w:rsidR="008F6551" w:rsidRPr="007B3136" w:rsidRDefault="008F6551" w:rsidP="00DA2983">
            <w:pPr>
              <w:pStyle w:val="Default"/>
              <w:rPr>
                <w:i/>
                <w:iCs/>
                <w:lang w:val="lt-LT"/>
              </w:rPr>
            </w:pPr>
          </w:p>
        </w:tc>
      </w:tr>
      <w:tr w:rsidR="008F6551" w:rsidRPr="007B3136" w:rsidTr="008F6551">
        <w:trPr>
          <w:trHeight w:val="858"/>
        </w:trPr>
        <w:tc>
          <w:tcPr>
            <w:tcW w:w="670" w:type="dxa"/>
          </w:tcPr>
          <w:p w:rsidR="008F6551" w:rsidRPr="007B3136" w:rsidRDefault="008F6551" w:rsidP="00DA2983">
            <w:pPr>
              <w:pStyle w:val="Default"/>
              <w:rPr>
                <w:b/>
                <w:bCs/>
                <w:lang w:val="lt-LT"/>
              </w:rPr>
            </w:pPr>
          </w:p>
        </w:tc>
        <w:tc>
          <w:tcPr>
            <w:tcW w:w="1276" w:type="dxa"/>
          </w:tcPr>
          <w:p w:rsidR="008F6551" w:rsidRPr="007B3136" w:rsidRDefault="008F6551" w:rsidP="00DA2983">
            <w:pPr>
              <w:pStyle w:val="Default"/>
              <w:rPr>
                <w:i/>
                <w:iCs/>
                <w:lang w:val="lt-LT"/>
              </w:rPr>
            </w:pPr>
          </w:p>
        </w:tc>
        <w:tc>
          <w:tcPr>
            <w:tcW w:w="2126" w:type="dxa"/>
          </w:tcPr>
          <w:p w:rsidR="008F6551" w:rsidRPr="007B3136" w:rsidRDefault="008F6551" w:rsidP="00DA2983">
            <w:pPr>
              <w:pStyle w:val="Default"/>
              <w:rPr>
                <w:i/>
                <w:iCs/>
                <w:lang w:val="lt-LT"/>
              </w:rPr>
            </w:pPr>
          </w:p>
        </w:tc>
        <w:tc>
          <w:tcPr>
            <w:tcW w:w="1418" w:type="dxa"/>
          </w:tcPr>
          <w:p w:rsidR="008F6551" w:rsidRPr="007B3136" w:rsidRDefault="008F6551" w:rsidP="00DA2983">
            <w:pPr>
              <w:pStyle w:val="Default"/>
              <w:rPr>
                <w:i/>
                <w:iCs/>
                <w:lang w:val="lt-LT"/>
              </w:rPr>
            </w:pPr>
          </w:p>
        </w:tc>
        <w:tc>
          <w:tcPr>
            <w:tcW w:w="1706" w:type="dxa"/>
          </w:tcPr>
          <w:p w:rsidR="008F6551" w:rsidRPr="007B3136" w:rsidRDefault="008F6551" w:rsidP="00DA2983">
            <w:pPr>
              <w:pStyle w:val="Default"/>
              <w:rPr>
                <w:i/>
                <w:iCs/>
                <w:lang w:val="lt-LT"/>
              </w:rPr>
            </w:pPr>
          </w:p>
        </w:tc>
        <w:tc>
          <w:tcPr>
            <w:tcW w:w="2835" w:type="dxa"/>
          </w:tcPr>
          <w:p w:rsidR="008F6551" w:rsidRPr="007B3136" w:rsidRDefault="008F6551" w:rsidP="00DA2983">
            <w:pPr>
              <w:pStyle w:val="Default"/>
              <w:rPr>
                <w:i/>
                <w:iCs/>
                <w:lang w:val="lt-LT"/>
              </w:rPr>
            </w:pPr>
          </w:p>
        </w:tc>
        <w:tc>
          <w:tcPr>
            <w:tcW w:w="1134" w:type="dxa"/>
          </w:tcPr>
          <w:p w:rsidR="008F6551" w:rsidRPr="007B3136" w:rsidRDefault="008F6551" w:rsidP="00DA2983">
            <w:pPr>
              <w:pStyle w:val="Default"/>
              <w:rPr>
                <w:i/>
                <w:iCs/>
                <w:lang w:val="lt-LT"/>
              </w:rPr>
            </w:pPr>
          </w:p>
        </w:tc>
      </w:tr>
    </w:tbl>
    <w:p w:rsidR="00D87354" w:rsidRDefault="00D87354"/>
    <w:sectPr w:rsidR="00D87354" w:rsidSect="007B3136">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136"/>
    <w:rsid w:val="002A46C1"/>
    <w:rsid w:val="003E0C34"/>
    <w:rsid w:val="007B3136"/>
    <w:rsid w:val="008F6551"/>
    <w:rsid w:val="00D87354"/>
    <w:rsid w:val="00E84431"/>
    <w:rsid w:val="00FE2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E8E7D"/>
  <w15:chartTrackingRefBased/>
  <w15:docId w15:val="{936C8DF7-FA7A-436C-BCC4-63E39C587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7B313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1937</Words>
  <Characters>11042</Characters>
  <Application>Microsoft Office Word</Application>
  <DocSecurity>0</DocSecurity>
  <Lines>92</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2020-05-27T06:49:00Z</dcterms:created>
  <dcterms:modified xsi:type="dcterms:W3CDTF">2020-10-27T13:20:00Z</dcterms:modified>
</cp:coreProperties>
</file>